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078" w14:textId="77777777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</w:rPr>
        <w:t>Դիմումների  Ընդունելության Հայտարարություն</w:t>
      </w:r>
    </w:p>
    <w:p w14:paraId="6D5213ED" w14:textId="60F8F7F0" w:rsidR="00AD136A" w:rsidRPr="00AD136A" w:rsidRDefault="00EC6769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b/>
          <w:bCs/>
          <w:color w:val="1F497D"/>
        </w:rPr>
        <w:t>Թվային գրագիտություն և համակարգչային գիտություն առարկայի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դասավանդման և ուսումնառության նյութերի մշակման նպատակով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 xml:space="preserve">թվային գրագիտություն և համակարգչային գիտություն առարկայի 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>փորձագետ</w:t>
      </w:r>
    </w:p>
    <w:p w14:paraId="00D36084" w14:textId="1CC4EEF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Նպատակ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Աջակցել ՀՀ-ում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առարկայական չափորոշչի/ծրագրերի փորձարկմանը ընդառաջ դասավանդման և ուսումնառության նյութերի մշակմանը «Հայաստանում ԵՄ-ն նորարարության համար. բնագիտական, տեխնոլոգիական, ճարտարագիտական առարկաների և մաթեմատիկայի կրթության բարելավում» ծրագրի շրջանակում:</w:t>
      </w:r>
    </w:p>
    <w:p w14:paraId="482A4D58" w14:textId="7094147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Ծրագրի մասին համառոտ ակնարկ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Համաշխարհային բանկն աջակցում է ՀՀ ԿԳՄՍ նախարարությանը «Հայաստանում ԵՄ-ն  նորարարության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համար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» ծրագրի իրականացման գործում: Եվրամիության ֆինանսավորմամբ կատարվող այս դրամաշնորհային ծրագրի նպատակն է բարելավել  բնագիտական, տեխնոլոգիական, ճարտարագիտական առարկաների և մաթեմատիկայի (ԲՏՃՄ) ուսուցումը միջնակարգ կրթության ոլորտում:  Ծրագրով նախատեսվում է լրամշակել (1-12 դասարաններում դասավանդվող) բնագիտական, տեխնոլոգիական, ճարտարագիտական առարկաների և մաթեմատիկայի  (ԲՏՃՄ) առարկաների կրթական ծրագրերը, 5-12 դասարանների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 </w:t>
      </w:r>
    </w:p>
    <w:p w14:paraId="19E5F4F3" w14:textId="7C2CF4ED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Առաջադրանքներ և գործունեության շրջանակը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</w:rPr>
        <w:t>Թվային գրագիտություն և համակարգչային գիտություն առարկայի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փորձագետը կմասնակցի Տավուշի մարզում փորձարկմանը ընդառաջ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վերանայված չափորոշչին/ծրագրին համապատասխան դասավանդաման և ուսումնառության նյութերի մշակմանը։ Նա սերտորեն կհամագործակցի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թվային գրագիտություն և համակարգչային գիտություն առարկայի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առարկայական թիմի, ինչպես նաև ԲՏՃՄ բնագավառի մյուս առարկայական թիմերի հետ՝ իրականացնելով ծրագրով նախատեսված գործողությունները:</w:t>
      </w:r>
    </w:p>
    <w:p w14:paraId="25F2D443" w14:textId="627DCD92" w:rsidR="00AD136A" w:rsidRPr="00AD136A" w:rsidRDefault="00EC6769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առարկայական փորձագետի առաջադրանքը մասնավորապես ներառում է.</w:t>
      </w:r>
    </w:p>
    <w:p w14:paraId="6FC5DAD7" w14:textId="1C98092E" w:rsidR="00AD136A" w:rsidRPr="00AD136A" w:rsidRDefault="0018605D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առարկայի առարկայական չափորոշչի/ծրագրի համապատասխան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նյութերի թղթապանակի ստեղծմանը (ընթերցանության նյութեր, թեմատիկ առաջադրանքներ և այլն) ըստ դասարանների։ </w:t>
      </w:r>
    </w:p>
    <w:p w14:paraId="14695568" w14:textId="55A8F3A8" w:rsidR="00AD136A" w:rsidRPr="00AD136A" w:rsidRDefault="0018605D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 աշխատանքային խմբի հետ սերտ համագործակցությամբ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առարկայի համար տիպային նմուշների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>ստղեծմանը (դասի պլաններ, առաջադրանքների տիպեր և այլն) ըստ դասարանների։</w:t>
      </w:r>
    </w:p>
    <w:p w14:paraId="27FE2E74" w14:textId="2615B413" w:rsidR="00AD136A" w:rsidRPr="00AD136A" w:rsidRDefault="0018605D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 աշխատանքային խմբի հետ սերտ համագործակցությամբ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ուսուցչի ձեռնարկների ստեղծմանը (մեթոդական աջակցության նյութեր, ուղեցույց և այլն) ըստ դպրոցների՝ տարրական, միջին և ավագ։</w:t>
      </w:r>
    </w:p>
    <w:p w14:paraId="5D48F068" w14:textId="2AA7CEC5" w:rsidR="00AD136A" w:rsidRPr="00AD136A" w:rsidRDefault="0018605D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 աշխատանքային խմբի հետ սերտ համագործակցությամբ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 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առաջարկվող գրականության ցանկի մշակմանը։</w:t>
      </w:r>
    </w:p>
    <w:p w14:paraId="523B9E92" w14:textId="06156060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առարկայական չափորոշչի/ծրագրի փորձարկմանը ընդառաջ դասավանդման և ուսումնառության նյութերը լրամշակող խմբի շաբաթական հանդիպումներին:</w:t>
      </w:r>
    </w:p>
    <w:p w14:paraId="543F2A3E" w14:textId="7777777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Մասնակցել աշխատաժողովների, թեմատիկ քննարկումների, որոնք կնպաստեն սույն առաջադրանքների ավելի արդյունավետ կատարմանը։</w:t>
      </w:r>
    </w:p>
    <w:p w14:paraId="1644793F" w14:textId="259EC63C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հանրային քննարկումների, թիրախային լսարանին ներկայացնել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առարկայական չափորոշչի/ծրագրի փորձարկման համար մշակված դասավանդման և ուսումնառության նյութերը, լրամշակել մշակված նյութերը քննարկումների հիման վրա։</w:t>
      </w:r>
    </w:p>
    <w:p w14:paraId="5BEC2EDE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0ECED158" w14:textId="28D3728C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Գործունեության արդյունքները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: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առարկայական փորձագետի առաջադրանքից պահանջվող որոշակի արդյունքներն են.</w:t>
      </w:r>
    </w:p>
    <w:p w14:paraId="2F41D684" w14:textId="243BF8ED" w:rsidR="00AD136A" w:rsidRPr="00AD136A" w:rsidRDefault="00EC6769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նյութերի թղթապանակ (ընթերցանության նյութեր, թեմատիկ առաջադրանքներ և այլն) ըստ դասարանների։</w:t>
      </w:r>
    </w:p>
    <w:p w14:paraId="0BCF4C9D" w14:textId="2BC9612F" w:rsidR="00AD136A" w:rsidRPr="00AD136A" w:rsidRDefault="00EC6769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տիպային նմուշներ (դասի պլաններ, առաջադրանքների տիպեր և այլն) ըստ դասարանների։</w:t>
      </w:r>
    </w:p>
    <w:p w14:paraId="2ABAE187" w14:textId="67A20DAE" w:rsidR="00AD136A" w:rsidRPr="00AD136A" w:rsidRDefault="00EC6769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ուսուցչի ձեռնարկներ (մեթոդական աջակցության նյութեր, ուղեցույց և այլն) ըստ դպրոցների՝ տարրական, միջին և ավագ։</w:t>
      </w:r>
    </w:p>
    <w:p w14:paraId="5E6ABE40" w14:textId="4E1F0F60" w:rsidR="00AD136A" w:rsidRPr="00AD136A" w:rsidRDefault="00EC6769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դասավանդման  համար  առաջարկվող գրականության ցանկ։</w:t>
      </w:r>
    </w:p>
    <w:p w14:paraId="40117EA8" w14:textId="1DB6FD04" w:rsidR="00AD136A" w:rsidRPr="00AD136A" w:rsidRDefault="00EC6769" w:rsidP="00AD136A">
      <w:pPr>
        <w:numPr>
          <w:ilvl w:val="0"/>
          <w:numId w:val="2"/>
        </w:numPr>
        <w:spacing w:after="200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առարկայի լրամշակված առարկայական չափորոշչի/ծրագրի փորձարկմանն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թվային գրագիտություն և համակարգչային գիտություն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դասավանդման և ուսումնառության նյութեր։</w:t>
      </w:r>
    </w:p>
    <w:p w14:paraId="7A34D1F6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5767CFE3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Աշխատանքի տևողությունը</w:t>
      </w:r>
    </w:p>
    <w:p w14:paraId="449F2BAE" w14:textId="77777777" w:rsidR="00AD136A" w:rsidRPr="00620D09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20D09">
        <w:rPr>
          <w:rFonts w:ascii="Tahoma" w:eastAsia="Times New Roman" w:hAnsi="Tahoma" w:cs="Times New Roman"/>
          <w:color w:val="000000" w:themeColor="text1"/>
          <w:sz w:val="22"/>
          <w:szCs w:val="22"/>
        </w:rPr>
        <w:t>Աշխատանքի տևողությունը վեց ամիս է (հուլիս-դեկտեմբեր): Աշխատանքի շրջանականերում օրական զբաղվածությունը մինչև 6 ժամ է:</w:t>
      </w:r>
      <w:r w:rsidRPr="00620D09">
        <w:rPr>
          <w:rFonts w:ascii="Merriweather" w:eastAsia="Times New Roman" w:hAnsi="Merriweather" w:cs="Times New Roman"/>
          <w:color w:val="000000" w:themeColor="text1"/>
          <w:sz w:val="22"/>
          <w:szCs w:val="22"/>
        </w:rPr>
        <w:t> </w:t>
      </w:r>
    </w:p>
    <w:p w14:paraId="295B817D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8DF232C" w14:textId="77777777" w:rsidR="00A75383" w:rsidRDefault="00A75383" w:rsidP="00AD136A">
      <w:pPr>
        <w:spacing w:after="200"/>
        <w:jc w:val="both"/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</w:pPr>
    </w:p>
    <w:p w14:paraId="368352A1" w14:textId="531A092F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Խորհրդատուի որակավորման նվազագույն պահանջները</w:t>
      </w:r>
    </w:p>
    <w:p w14:paraId="6705C97F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640FF343" w14:textId="601D2306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Բարձրագույն կրթություն</w:t>
      </w:r>
      <w:r w:rsidR="00A7538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համակարգչային գիտությունների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գիտակարգում,</w:t>
      </w:r>
    </w:p>
    <w:p w14:paraId="52F44148" w14:textId="46F228F5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Առնվազն 5+ տարվա մասնագիտական աշխատանքային փորձ </w:t>
      </w:r>
      <w:r w:rsidR="00A7538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ինֆորմատիկա </w:t>
      </w:r>
      <w:r w:rsidR="00EC6769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</w:t>
      </w:r>
      <w:r w:rsidR="00A7538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դասավանդման  ոլորտում,դպրոցում դասավանդման փորձը կդիտվի առավելություն,</w:t>
      </w:r>
    </w:p>
    <w:p w14:paraId="7F794F3A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Վերապատրաստման դասընթացներ կազմակերպելու կամ վարելու փորձ (ցանկալի է),</w:t>
      </w:r>
    </w:p>
    <w:p w14:paraId="6BE16FB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Համապատասխան հետազոտական գրականության իմացություն, վերլուծական հմտություններ և տարբեր աղբյուրներից տեղեկատվություն առանձնացնելու և սինթեզելու ունակություն,</w:t>
      </w:r>
    </w:p>
    <w:p w14:paraId="42886F51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Աշխատանքային խմբերում արդյունավետորեն գործելու համար միջանձնային գերազանց հմտություններ, </w:t>
      </w:r>
    </w:p>
    <w:p w14:paraId="07233F2F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Գրավոր և բանավոր հաղորդակցման հմտություններ: </w:t>
      </w:r>
    </w:p>
    <w:p w14:paraId="6E3BAFD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Միաժամանակ տարբեր առաջադրանքներ կատարելու և աշխատանքը վերջնաժամկետին հասցնելու կարողություն,</w:t>
      </w:r>
    </w:p>
    <w:p w14:paraId="02D67733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Սույն աշխատանքներին 2020 թ. հուլիս-դեկտեմբեր ամիսներին ընդգրկվելու հնարավորություն,</w:t>
      </w:r>
    </w:p>
    <w:p w14:paraId="78A77EC5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Առավելություն կտրվի անգլերենին տիրապետող թեկնածուներին:</w:t>
      </w:r>
    </w:p>
    <w:p w14:paraId="4CB741F4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2D6A1E42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Փոխհատուցում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մրցակցային</w:t>
      </w:r>
    </w:p>
    <w:p w14:paraId="5B17A40A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34FCFA36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Merriweather" w:eastAsia="Times New Roman" w:hAnsi="Merriweather" w:cs="Times New Roman"/>
          <w:b/>
          <w:bCs/>
          <w:color w:val="1F497D"/>
          <w:sz w:val="22"/>
          <w:szCs w:val="22"/>
        </w:rPr>
        <w:t> </w:t>
      </w: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Ընտրության կարգը.</w:t>
      </w:r>
    </w:p>
    <w:p w14:paraId="6817B6A4" w14:textId="2E02977E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  Անհրաժեշտ է ուղարկել ինքնակենսագրական (CV) և հետաքրքրության նամակ (առավելագույնը 1 էջ)   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curriculum@edu.am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էլեկտրոնային հասցեին մինչև սույն թվականի հունիսի </w:t>
      </w:r>
      <w:r w:rsidR="00620D09" w:rsidRPr="00620D09">
        <w:rPr>
          <w:rFonts w:ascii="Tahoma" w:eastAsia="Times New Roman" w:hAnsi="Tahoma" w:cs="Times New Roman"/>
          <w:color w:val="000000"/>
          <w:sz w:val="22"/>
          <w:szCs w:val="22"/>
        </w:rPr>
        <w:t>14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-ը:</w:t>
      </w:r>
    </w:p>
    <w:p w14:paraId="70C6A74A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Թեկնածուները ըստ անհրաժեշտության կարող են հրավիրվել հարցազրույցի։</w:t>
      </w:r>
    </w:p>
    <w:p w14:paraId="100CA970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</w:rPr>
      </w:pPr>
    </w:p>
    <w:p w14:paraId="6DD5AE04" w14:textId="77777777" w:rsidR="00AD136A" w:rsidRDefault="00AD136A"/>
    <w:sectPr w:rsidR="00AD136A" w:rsidSect="00EF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10"/>
    <w:multiLevelType w:val="multilevel"/>
    <w:tmpl w:val="D49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1C2"/>
    <w:multiLevelType w:val="multilevel"/>
    <w:tmpl w:val="D47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04E7"/>
    <w:multiLevelType w:val="multilevel"/>
    <w:tmpl w:val="985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A"/>
    <w:rsid w:val="0018605D"/>
    <w:rsid w:val="00501616"/>
    <w:rsid w:val="00620D09"/>
    <w:rsid w:val="008014B6"/>
    <w:rsid w:val="008352C1"/>
    <w:rsid w:val="008D1A9A"/>
    <w:rsid w:val="008F2795"/>
    <w:rsid w:val="009A5900"/>
    <w:rsid w:val="00A75383"/>
    <w:rsid w:val="00AD136A"/>
    <w:rsid w:val="00B10833"/>
    <w:rsid w:val="00CE6262"/>
    <w:rsid w:val="00D41ACD"/>
    <w:rsid w:val="00EC6769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35EB"/>
  <w15:chartTrackingRefBased/>
  <w15:docId w15:val="{EF18B071-BE4B-8249-9EF9-927F0B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694</Words>
  <Characters>5835</Characters>
  <Application>Microsoft Office Word</Application>
  <DocSecurity>0</DocSecurity>
  <Lines>135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2020-05-27T10:06:00Z</dcterms:created>
  <dcterms:modified xsi:type="dcterms:W3CDTF">2020-06-01T06:18:00Z</dcterms:modified>
</cp:coreProperties>
</file>