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ՀԱՅՏԱՐԱՐՈՒԹՅՈՒՆ</w:t>
      </w:r>
    </w:p>
    <w:p w:rsidR="00115DC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գիտության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մշակույթի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սպորտի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նախարարությունը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`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Courier New"/>
          <w:bCs/>
          <w:color w:val="222222"/>
          <w:sz w:val="24"/>
          <w:szCs w:val="24"/>
        </w:rPr>
        <w:t>Ն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ախարարություն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)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հայտարարում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բաժնում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փորձագետ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ներգրավելու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համար</w:t>
      </w:r>
      <w:proofErr w:type="spellEnd"/>
    </w:p>
    <w:p w:rsidR="00115DC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Փորձագետը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ներգրավվում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է </w:t>
      </w:r>
      <w:proofErr w:type="spellStart"/>
      <w:proofErr w:type="gram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proofErr w:type="gram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="00B1168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կանոնադրական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խնդիրները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լուծելու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գործառույթների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հանձնարարականների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115DC6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115DC6" w:rsidRDefault="00115DC6" w:rsidP="00B1168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/>
          <w:i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պարտականություններն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>`</w:t>
      </w:r>
    </w:p>
    <w:p w:rsidR="00115DC6" w:rsidRDefault="00115DC6" w:rsidP="00B1168F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գնումների մասին ՀՀ օրենսդրության պահանջներին համապատասխան պետական բյուջեով, ՀՀ կառավարության որոշումներով, ինչպես նաև այլ աղբյուրներից նախատեսված ծախսերի հաշվին ապրանքների, աշխատանքների և ծառայությունների գնման գործընթացների կազմակերպմանը և համակարգմանը;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պատասխանատու ստորաբաժանումների կողմից ներկայացված գնման հայտերի կազմման գնահատմանը, էլեկտրոնային PPCM համակարգի միջոցով գնման գործընթացների վերաբերյալ տվյալների մուտքագրմանը և գնման գործընթացների ստեղծմանը; 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էլեկտրոնային ARMEPS և Eauction համակարգերով ապրանքների, աշխատանքների և ծառայությունների գնման գործընթացների կազմակերպմանը; 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է գնահատող հանձնաժողովի քարտուղարի լիազորությունների իրականացմանը: 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գնահատող հանձնաժողովի աշխատանքների կազմակերպմանը;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պատվիրատուի ղեկավարի հաստատմանը ներկայացվող գնման պայմանագրերի նախագծերի, պայմանագրերում փոփոխություններ կատարելու դեպքում համապատասխան համաձայնագրերի կազմման աշխատանքներին; 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պատվիրատուի ղեկավարի հաստատմանը ներկայացվող գնման ընթացակարգի արձանագրությունների կազմման աշխատանքներին; 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գնման գործընթացի արդյունքում կնքված պայմանագրերի մասին հայտարարությունների և պայմանագրերում փոփոխություններ կատարելու դեպքում՝ կնքված համաձայնագրերի մասին հայտարարությունների կազմման աշխատանքներին;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գնման գործընթացի արդյունքում կնքված պայմանագրերի և պայմանագրերում փոփոխություններ կատարելու դեպքում՝ կնքված համաձայնագրերի վերաբերյալ հաշվետվությունների PPCM համակարգ մուտքագրման աշխատանքներին;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</w:t>
      </w:r>
      <w:hyperlink r:id="rId5" w:history="1">
        <w:r w:rsidRPr="006270D5">
          <w:rPr>
            <w:rFonts w:ascii="GHEA Grapalat" w:hAnsi="GHEA Grapalat" w:cs="Sylfaen"/>
            <w:kern w:val="16"/>
            <w:sz w:val="24"/>
            <w:szCs w:val="24"/>
            <w:lang w:val="hy-AM"/>
          </w:rPr>
          <w:t>www.gnumner.am</w:t>
        </w:r>
      </w:hyperlink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Նախարարության, ինչպես նաև  Նախարարության ենթակայությամբ գործող պատվիրատուների կողմից կատարված գնման գործընթացների վերաբերյալ տեղեկատվության հրապարակման աշխատանքներին;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Նախարարության ներքին աուդիտի ստորաբաժանմանը գնման գործընթացների վերաբերյալ համապատասխան տեղեկատվության տրամադրմանը,  իսկ </w:t>
      </w:r>
      <w:hyperlink r:id="rId6" w:history="1">
        <w:r w:rsidRPr="006270D5">
          <w:rPr>
            <w:rFonts w:ascii="GHEA Grapalat" w:hAnsi="GHEA Grapalat" w:cs="Sylfaen"/>
            <w:kern w:val="16"/>
            <w:sz w:val="24"/>
            <w:szCs w:val="24"/>
            <w:lang w:val="hy-AM"/>
          </w:rPr>
          <w:t>Նախարարության</w:t>
        </w:r>
      </w:hyperlink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տեղադրելու նպատակով նաև տեղեկատվությունը հիմնավորող փաստաթղթերի ներկայացմանը;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Նախարարության գնումների վերաբերյալ տարեկան և եռամսյակային հաշվետվությունների կազմմանը, ինչպես նաև Նախարարության ենթակայությամբ գործող կազմակերպություններից նշված հաշվետվությունների ընդունմանը և ամփոփ ձևով կազմմանը: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Նախարարության ենթակայությամբ գործող կազմակերպություններին գնումների մասին ՀՀ օրենսդրության մեջ կատարվող փոփոխությունների և պարզաբանումների մասին շրջաբերականների կազմումը, իսկ հանձնարարականների դեպքում՝ վերջիններիցս համապատասխան տեղեկատվության հավաքագրմանը և ամփոփմանը: 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Մասնակցել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Նախարարության ենթակայությամբ գործող կազմակերպությունների կողմից գնման գործընթացների կազմակերպման աշխատանքներին օժանդակմանը;</w:t>
      </w:r>
    </w:p>
    <w:p w:rsidR="00B1168F" w:rsidRPr="006270D5" w:rsidRDefault="00B1168F" w:rsidP="00B1168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Համապատասխան հանձնարարականի դեպքում </w:t>
      </w:r>
      <w:r w:rsidRPr="007644E7">
        <w:rPr>
          <w:rFonts w:ascii="GHEA Grapalat" w:hAnsi="GHEA Grapalat" w:cs="Sylfaen"/>
          <w:kern w:val="16"/>
          <w:sz w:val="24"/>
          <w:szCs w:val="24"/>
          <w:lang w:val="hy-AM"/>
        </w:rPr>
        <w:t>մ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գրությունների, տեղեկանքների, հրամանների, զեկուցագրերի, առաջարկությունների, հաշվետվությունների, եզրակացությունների նախագծերի կազմմանը;</w:t>
      </w:r>
    </w:p>
    <w:p w:rsidR="00B1168F" w:rsidRPr="00B1168F" w:rsidRDefault="00B1168F" w:rsidP="00B1168F">
      <w:pPr>
        <w:numPr>
          <w:ilvl w:val="0"/>
          <w:numId w:val="3"/>
        </w:numPr>
        <w:tabs>
          <w:tab w:val="left" w:pos="0"/>
          <w:tab w:val="left" w:pos="540"/>
          <w:tab w:val="left" w:pos="567"/>
        </w:tabs>
        <w:spacing w:after="0" w:line="360" w:lineRule="auto"/>
        <w:ind w:left="522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Համապատասխան հանձնարարականի դեպքում </w:t>
      </w:r>
      <w:r w:rsidRPr="007644E7">
        <w:rPr>
          <w:rFonts w:ascii="GHEA Grapalat" w:hAnsi="GHEA Grapalat" w:cs="Sylfaen"/>
          <w:kern w:val="16"/>
          <w:sz w:val="24"/>
          <w:szCs w:val="24"/>
          <w:lang w:val="hy-AM"/>
        </w:rPr>
        <w:t>մ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>ասնակցել</w:t>
      </w:r>
      <w:r w:rsidRPr="006270D5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գնումների մասին ՀՀ օրենսդրությամբ վերապահված այլ լիազորությունների իրականացմանը</w:t>
      </w:r>
      <w:r w:rsidRPr="006270D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1168F" w:rsidRPr="00B1168F" w:rsidRDefault="00B1168F" w:rsidP="00B1168F">
      <w:pPr>
        <w:tabs>
          <w:tab w:val="left" w:pos="0"/>
          <w:tab w:val="left" w:pos="540"/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115DC6" w:rsidRPr="00115DC6" w:rsidRDefault="00115DC6" w:rsidP="00B1168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  <w:t>Փորձագետին ներկայացվող պահանջներն են.</w:t>
      </w:r>
    </w:p>
    <w:p w:rsidR="00115DC6" w:rsidRP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1) </w:t>
      </w:r>
      <w:r w:rsidR="00B1168F"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</w:t>
      </w: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ՀՀ քաղաքացիություն,</w:t>
      </w:r>
      <w:r w:rsidRPr="00115DC6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</w:p>
    <w:p w:rsidR="00B1168F" w:rsidRPr="00B1168F" w:rsidRDefault="00B1168F" w:rsidP="00B1168F">
      <w:pPr>
        <w:pStyle w:val="ListParagraph"/>
        <w:spacing w:after="0" w:line="360" w:lineRule="auto"/>
        <w:ind w:right="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>2)  Բ</w:t>
      </w:r>
      <w:r w:rsidRPr="009D0A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արձրագույն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կրթություն</w:t>
      </w:r>
      <w:r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B1168F" w:rsidRPr="00B1168F" w:rsidRDefault="00B1168F" w:rsidP="00B1168F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BC6CBE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9D0A14">
        <w:rPr>
          <w:rFonts w:ascii="GHEA Grapalat" w:eastAsia="Times New Roman" w:hAnsi="GHEA Grapalat" w:cs="Times New Roman"/>
          <w:sz w:val="24"/>
          <w:szCs w:val="24"/>
          <w:lang w:val="hy-AM"/>
        </w:rPr>
        <w:t>ավարարում է «Գնումների մասին» ՀՀ օրենքի 16-րդ հոդվածի 5-րդ կետով սահմանված պահանջին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1168F" w:rsidRPr="00B1168F" w:rsidRDefault="00B1168F" w:rsidP="00B1168F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Pr="0024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 մեկ տարվա ստաժ կամ երեք տարվա մասնագիտական աշխատանքային ստաժ</w:t>
      </w: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4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15DC6" w:rsidRPr="00115DC6" w:rsidRDefault="00115DC6" w:rsidP="00B1168F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4)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համակարգչով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ժամանակակից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այլ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տեխնիկական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միջոցներով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աշխատելու</w:t>
      </w:r>
      <w:r w:rsidRPr="00115DC6">
        <w:rPr>
          <w:rFonts w:ascii="Helvetica" w:hAnsi="Helvetica"/>
          <w:color w:val="072A42"/>
          <w:sz w:val="24"/>
          <w:szCs w:val="24"/>
          <w:shd w:val="clear" w:color="auto" w:fill="FFFFFF"/>
          <w:lang w:val="hy-AM"/>
        </w:rPr>
        <w:t> 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ունակություն,</w:t>
      </w:r>
    </w:p>
    <w:p w:rsidR="00115DC6" w:rsidRPr="00115DC6" w:rsidRDefault="00115DC6" w:rsidP="00B1168F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5) Գրական հայերենի տիրապետում,</w:t>
      </w:r>
    </w:p>
    <w:p w:rsidR="00115DC6" w:rsidRPr="00115DC6" w:rsidRDefault="00115DC6" w:rsidP="00B1168F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6) պատասխանատվության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բարձր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զգացում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ճշտապահություն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տրամա-բանելու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տարբեր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իրավիճակներում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արագ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կողմնորոշվելու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B1168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Փորձագետ ներգրավելու ժամկետն է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/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/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տարի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: 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Ընտրություն կատարելու եղանակը` դիմում ներկայացրած քաղաքացիների փաստաթղթերի ուսումնասիրություն, ինքնակենսագրականների ուսումնասիրու-թյուն, հարցազրույց:</w:t>
      </w:r>
    </w:p>
    <w:p w:rsidR="00115DC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Դիմող ՀՀ քաղաքացիները պետք է ներկայացնեն հետևյալ փաստաթղթերը.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Դիմում նախարարության գլխավոր քարտուղարի անունով (դիմումի ձևը կցվում է),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տվյալ պաշտոնը զբաղեցնելու համար մասնագիտական գիտելիքների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և աշխատանքային ունակությունների տիրապետման տեսանկյունից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ներկայացվող պահանջների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բավարարումը հավաստող փաստաթղթերի` դիպլոմի(ների), վկայական(ների),  աշխատանքային գրքույկի (վերջինիս բացակայության դեպքում անհրաժեշտ է ներկայացնել տեղեկանք/ներ համապատասխան մարմնից/ներից) պատճենները բնօրինակների հետ միասին,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արական սեռի անձինք` նաև զինվորական գրքույկի կամ դրան փոխարինողժամանակավոր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զորակոչային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տեղամասից կցագրման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վկայականի պատճենները` բնօրինակի հետ միասին, կամ համապատասխան տեղեկանք,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 գունավոր լուսանկար 3X4 սմ չափսի,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անձնագրի կամ նույնականացման քարտի պատճենը,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Հայտարարություն նշված սահմանափակումների բացակայության մասին՝</w:t>
      </w:r>
    </w:p>
    <w:p w:rsidR="00115DC6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պաշտոնից ազատվել կամ ծառայությունը վերջին մեկ տարվա ընթացքում դադարեցվել է կարգապահական տույժ կիառելու,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օրենքով սահմանված փորձաշրջանը չանցնելու,</w:t>
      </w:r>
    </w:p>
    <w:p w:rsid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օրենքի խախտմամբ պաշտոնի նշանակվելու,</w:t>
      </w:r>
    </w:p>
    <w:p w:rsidR="00115DC6" w:rsidRPr="00115DC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«Հանրային ծառայության մասին» Հայաստանի Հանրապետության օրենքով սահմանված անհամատեղելիության պահանջները չպահպանելու,</w:t>
      </w:r>
    </w:p>
    <w:p w:rsidR="00115DC6" w:rsidRPr="00E366B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lastRenderedPageBreak/>
        <w:t>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:rsidR="00115DC6" w:rsidRPr="00E366B6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E366B6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Քաղաքացին փաստաթղթերը ներկայացնում է անձամբ, կամ էլեկտրոնային փոստի միջոցով:</w:t>
      </w:r>
    </w:p>
    <w:p w:rsidR="00115DC6" w:rsidRPr="00E366B6" w:rsidRDefault="00115DC6" w:rsidP="00B116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5B7CCB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Աշխատավայրը` ք. Երևան, Վազգեն Սարգսյան  3, Կառավարական տուն 2,  </w:t>
      </w:r>
    </w:p>
    <w:p w:rsidR="00115DC6" w:rsidRPr="005B7CCB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236E64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</w:pP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Փաստաթղթերն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ընդունվում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ամեն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`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09.30-12.30-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բացի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շաբաթ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կիրակի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օրերից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Pr="009D5B73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Դիմումների ընդունման վերջին ժամկետն է` </w:t>
      </w:r>
      <w:r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2019թ. 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սեպտեմբերի </w:t>
      </w:r>
      <w:r w:rsidR="00B1168F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</w:rPr>
        <w:t>5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-ը</w:t>
      </w: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ներառյալ:</w:t>
      </w:r>
    </w:p>
    <w:p w:rsidR="00115DC6" w:rsidRPr="009D5B73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9D5B73" w:rsidRDefault="00115DC6" w:rsidP="00B116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Լրացուցիչ տեղեկությունների համար դիմել նախարարության անձնակազմի կառավ</w:t>
      </w:r>
      <w:bookmarkStart w:id="0" w:name="_GoBack"/>
      <w:bookmarkEnd w:id="0"/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արման վարչություն (ք. Երևան, Վազգեն Սարգսյան 3, Կառավարական տուն 2, 5-րդ հարկ, հեռ.` 011-51-63-11, էլեկտրոնային փոստի հասցեն`</w:t>
      </w:r>
      <w:r w:rsidRPr="009D5B73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hyperlink r:id="rId7" w:history="1">
        <w:r w:rsidRPr="009D5B73">
          <w:rPr>
            <w:rStyle w:val="Hyperlink"/>
            <w:rFonts w:ascii="GHEA Grapalat" w:eastAsia="Times New Roman" w:hAnsi="GHEA Grapalat" w:cs="GHEA Grapalat"/>
            <w:bCs/>
            <w:color w:val="222222"/>
            <w:sz w:val="24"/>
            <w:szCs w:val="24"/>
            <w:u w:val="none"/>
            <w:lang w:val="hy-AM"/>
          </w:rPr>
          <w:t>el.muradyan@mincult.am</w:t>
        </w:r>
      </w:hyperlink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):</w:t>
      </w:r>
    </w:p>
    <w:p w:rsidR="00115DC6" w:rsidRPr="009D5B73" w:rsidRDefault="00115DC6" w:rsidP="00B116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78519B" w:rsidRPr="009D5B73" w:rsidRDefault="0078519B" w:rsidP="00B1168F">
      <w:pPr>
        <w:spacing w:line="360" w:lineRule="auto"/>
        <w:rPr>
          <w:lang w:val="hy-AM"/>
        </w:rPr>
      </w:pPr>
    </w:p>
    <w:sectPr w:rsidR="0078519B" w:rsidRPr="009D5B73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17D"/>
    <w:multiLevelType w:val="hybridMultilevel"/>
    <w:tmpl w:val="DB06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AF4"/>
    <w:multiLevelType w:val="hybridMultilevel"/>
    <w:tmpl w:val="785A9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3D3"/>
    <w:multiLevelType w:val="hybridMultilevel"/>
    <w:tmpl w:val="07F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C6"/>
    <w:rsid w:val="00115DC6"/>
    <w:rsid w:val="00133C18"/>
    <w:rsid w:val="00230745"/>
    <w:rsid w:val="00236E64"/>
    <w:rsid w:val="00386B90"/>
    <w:rsid w:val="005B7CCB"/>
    <w:rsid w:val="006003F9"/>
    <w:rsid w:val="0078519B"/>
    <w:rsid w:val="007F439F"/>
    <w:rsid w:val="0083085E"/>
    <w:rsid w:val="009D5B73"/>
    <w:rsid w:val="00A41B5A"/>
    <w:rsid w:val="00B1168F"/>
    <w:rsid w:val="00E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15DC6"/>
    <w:pPr>
      <w:spacing w:after="160" w:line="256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15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DC6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1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muradyan@mincul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am" TargetMode="Externa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https://mul-edu.gov.am/tasks/docs/attachment.php?id=295771&amp;fn=porcagetavag.docx&amp;out=1&amp;token=90dda9b8a1fe14e95daf</cp:keywords>
</cp:coreProperties>
</file>